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C2C" w:rsidRDefault="00226C2C">
      <w:pPr>
        <w:rPr>
          <w:lang w:val="en-US"/>
        </w:rPr>
      </w:pPr>
    </w:p>
    <w:p w:rsidR="00B71E3E" w:rsidRPr="006B26A4" w:rsidRDefault="006B26A4">
      <w:pPr>
        <w:rPr>
          <w:lang w:val="en-US"/>
        </w:rPr>
      </w:pPr>
      <w:r w:rsidRPr="006B26A4">
        <w:rPr>
          <w:lang w:val="en-US"/>
        </w:rPr>
        <w:t>Title of the seminar: “Electronic-suspensions control in vehicles: current status and future trends”</w:t>
      </w:r>
    </w:p>
    <w:p w:rsidR="006B26A4" w:rsidRPr="006B26A4" w:rsidRDefault="00226C2C">
      <w:pPr>
        <w:rPr>
          <w:lang w:val="en-US"/>
        </w:rPr>
      </w:pPr>
      <w:r>
        <w:rPr>
          <w:lang w:val="en-US"/>
        </w:rPr>
        <w:t xml:space="preserve">Lecturer: Prof. Sergio Savaresi, full professor at </w:t>
      </w:r>
      <w:proofErr w:type="spellStart"/>
      <w:r>
        <w:rPr>
          <w:lang w:val="en-US"/>
        </w:rPr>
        <w:t>Politecnico</w:t>
      </w:r>
      <w:proofErr w:type="spellEnd"/>
      <w:r>
        <w:rPr>
          <w:lang w:val="en-US"/>
        </w:rPr>
        <w:t xml:space="preserve"> di Milano</w:t>
      </w:r>
      <w:bookmarkStart w:id="0" w:name="_GoBack"/>
      <w:bookmarkEnd w:id="0"/>
      <w:r>
        <w:rPr>
          <w:lang w:val="en-US"/>
        </w:rPr>
        <w:t xml:space="preserve"> (author of the book “</w:t>
      </w:r>
      <w:r w:rsidR="00423B13" w:rsidRPr="00423B13">
        <w:rPr>
          <w:lang w:val="en-US"/>
        </w:rPr>
        <w:t>SEMI-ACTIVE SUSPENSION CONTROL FOR VEHICLES</w:t>
      </w:r>
      <w:r>
        <w:rPr>
          <w:lang w:val="en-US"/>
        </w:rPr>
        <w:t>”)</w:t>
      </w:r>
    </w:p>
    <w:p w:rsidR="006B26A4" w:rsidRDefault="006B26A4">
      <w:pPr>
        <w:rPr>
          <w:lang w:val="en-US"/>
        </w:rPr>
      </w:pPr>
      <w:r w:rsidRPr="006B26A4">
        <w:rPr>
          <w:lang w:val="en-US"/>
        </w:rPr>
        <w:t xml:space="preserve">Abstract. The general aim of the seminar is to provide a broad overview on the different technologies available for electronically-controlled suspension in cars. </w:t>
      </w:r>
      <w:r>
        <w:rPr>
          <w:lang w:val="en-US"/>
        </w:rPr>
        <w:t>First</w:t>
      </w:r>
      <w:r w:rsidRPr="006B26A4">
        <w:rPr>
          <w:lang w:val="en-US"/>
        </w:rPr>
        <w:t>, a brief overview of current “production-grade” technologies will be presented, together with a quick historical perspective</w:t>
      </w:r>
      <w:r>
        <w:rPr>
          <w:lang w:val="en-US"/>
        </w:rPr>
        <w:t xml:space="preserve"> of their development and milestones</w:t>
      </w:r>
      <w:r w:rsidRPr="006B26A4">
        <w:rPr>
          <w:lang w:val="en-US"/>
        </w:rPr>
        <w:t xml:space="preserve">. After this introduction the seminar will focus on emerging technologies, briefly outlining their potential benefits and their shortcomings, with special emphasis on the main challenges from a control-design point of view (advanced control strategies and algorithms). The final part of the seminar will be devoted to enlarge the scope of electronic suspensions to the new mobility models, in particular their fundamental role in the </w:t>
      </w:r>
      <w:r>
        <w:rPr>
          <w:lang w:val="en-US"/>
        </w:rPr>
        <w:t xml:space="preserve">fully </w:t>
      </w:r>
      <w:r w:rsidRPr="006B26A4">
        <w:rPr>
          <w:lang w:val="en-US"/>
        </w:rPr>
        <w:t>autonomous vehicles</w:t>
      </w:r>
      <w:r w:rsidR="000428D9">
        <w:rPr>
          <w:lang w:val="en-US"/>
        </w:rPr>
        <w:t xml:space="preserve"> (where comfort will be become the main design driver)</w:t>
      </w:r>
      <w:r w:rsidR="00226C2C">
        <w:rPr>
          <w:lang w:val="en-US"/>
        </w:rPr>
        <w:t xml:space="preserve"> and in the hub-motors electric cars architectures</w:t>
      </w:r>
      <w:r>
        <w:rPr>
          <w:lang w:val="en-US"/>
        </w:rPr>
        <w:t xml:space="preserve">. The integration of advanced electronic suspensions with </w:t>
      </w:r>
      <w:r w:rsidR="00226C2C">
        <w:rPr>
          <w:lang w:val="en-US"/>
        </w:rPr>
        <w:t>global</w:t>
      </w:r>
      <w:r w:rsidRPr="006B26A4">
        <w:rPr>
          <w:lang w:val="en-US"/>
        </w:rPr>
        <w:t xml:space="preserve"> chassis control systems, with adva</w:t>
      </w:r>
      <w:r w:rsidR="00226C2C">
        <w:rPr>
          <w:lang w:val="en-US"/>
        </w:rPr>
        <w:t>n</w:t>
      </w:r>
      <w:r w:rsidRPr="006B26A4">
        <w:rPr>
          <w:lang w:val="en-US"/>
        </w:rPr>
        <w:t>ced ADAS</w:t>
      </w:r>
      <w:r w:rsidR="00226C2C">
        <w:rPr>
          <w:lang w:val="en-US"/>
        </w:rPr>
        <w:t xml:space="preserve"> perception</w:t>
      </w:r>
      <w:r w:rsidRPr="006B26A4">
        <w:rPr>
          <w:lang w:val="en-US"/>
        </w:rPr>
        <w:t xml:space="preserve"> sensors (camer</w:t>
      </w:r>
      <w:r w:rsidR="00226C2C">
        <w:rPr>
          <w:lang w:val="en-US"/>
        </w:rPr>
        <w:t>a</w:t>
      </w:r>
      <w:r w:rsidRPr="006B26A4">
        <w:rPr>
          <w:lang w:val="en-US"/>
        </w:rPr>
        <w:t>s, LIDARS,</w:t>
      </w:r>
      <w:r w:rsidR="00226C2C">
        <w:rPr>
          <w:lang w:val="en-US"/>
        </w:rPr>
        <w:t xml:space="preserve"> radars,</w:t>
      </w:r>
      <w:r w:rsidRPr="006B26A4">
        <w:rPr>
          <w:lang w:val="en-US"/>
        </w:rPr>
        <w:t xml:space="preserve"> etc.), and with V2V car communication</w:t>
      </w:r>
      <w:r w:rsidR="00226C2C">
        <w:rPr>
          <w:lang w:val="en-US"/>
        </w:rPr>
        <w:t xml:space="preserve"> will be discussed</w:t>
      </w:r>
      <w:r w:rsidRPr="006B26A4">
        <w:rPr>
          <w:lang w:val="en-US"/>
        </w:rPr>
        <w:t>.</w:t>
      </w:r>
    </w:p>
    <w:p w:rsidR="00226C2C" w:rsidRDefault="000428D9">
      <w:pPr>
        <w:rPr>
          <w:lang w:val="en-US"/>
        </w:rPr>
      </w:pPr>
      <w:r w:rsidRPr="000428D9">
        <w:drawing>
          <wp:inline distT="0" distB="0" distL="0" distR="0" wp14:anchorId="7B428213" wp14:editId="34BEE148">
            <wp:extent cx="5731510" cy="998855"/>
            <wp:effectExtent l="0" t="0" r="2540"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9"/>
                    <pic:cNvPicPr>
                      <a:picLocks noChangeAspect="1"/>
                    </pic:cNvPicPr>
                  </pic:nvPicPr>
                  <pic:blipFill>
                    <a:blip r:embed="rId4"/>
                    <a:stretch>
                      <a:fillRect/>
                    </a:stretch>
                  </pic:blipFill>
                  <pic:spPr>
                    <a:xfrm>
                      <a:off x="0" y="0"/>
                      <a:ext cx="5731510" cy="998855"/>
                    </a:xfrm>
                    <a:prstGeom prst="rect">
                      <a:avLst/>
                    </a:prstGeom>
                  </pic:spPr>
                </pic:pic>
              </a:graphicData>
            </a:graphic>
          </wp:inline>
        </w:drawing>
      </w:r>
    </w:p>
    <w:p w:rsidR="000428D9" w:rsidRDefault="000428D9">
      <w:pPr>
        <w:rPr>
          <w:lang w:val="en-US"/>
        </w:rPr>
      </w:pPr>
      <w:r w:rsidRPr="000428D9">
        <w:drawing>
          <wp:inline distT="0" distB="0" distL="0" distR="0" wp14:anchorId="1522154F" wp14:editId="05CE173A">
            <wp:extent cx="2822889" cy="1724025"/>
            <wp:effectExtent l="0" t="0" r="0" b="0"/>
            <wp:docPr id="61442" name="Picture 2" descr="Risultati immagini per fully autonomous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2" name="Picture 2" descr="Risultati immagini per fully autonomous ca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6712" cy="1726360"/>
                    </a:xfrm>
                    <a:prstGeom prst="rect">
                      <a:avLst/>
                    </a:prstGeom>
                    <a:noFill/>
                    <a:extLst/>
                  </pic:spPr>
                </pic:pic>
              </a:graphicData>
            </a:graphic>
          </wp:inline>
        </w:drawing>
      </w:r>
      <w:r>
        <w:rPr>
          <w:lang w:val="en-US"/>
        </w:rPr>
        <w:t xml:space="preserve"> </w:t>
      </w:r>
      <w:r w:rsidRPr="000428D9">
        <w:drawing>
          <wp:inline distT="0" distB="0" distL="0" distR="0" wp14:anchorId="64E25EBA" wp14:editId="7E0EF354">
            <wp:extent cx="2260601" cy="1695450"/>
            <wp:effectExtent l="76200" t="76200" r="139700" b="133350"/>
            <wp:docPr id="1026" name="Picture 2" descr="Risultati immagini per Three-chamber Air Spring System porshce">
              <a:extLst xmlns:a="http://schemas.openxmlformats.org/drawingml/2006/main">
                <a:ext uri="{FF2B5EF4-FFF2-40B4-BE49-F238E27FC236}">
                  <a16:creationId xmlns:a16="http://schemas.microsoft.com/office/drawing/2014/main" id="{B4CCF636-4BEF-4C40-8E33-B611A0E443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isultati immagini per Three-chamber Air Spring System porshce">
                      <a:extLst>
                        <a:ext uri="{FF2B5EF4-FFF2-40B4-BE49-F238E27FC236}">
                          <a16:creationId xmlns:a16="http://schemas.microsoft.com/office/drawing/2014/main" id="{B4CCF636-4BEF-4C40-8E33-B611A0E44308}"/>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66534" cy="1699900"/>
                    </a:xfrm>
                    <a:prstGeom prst="rect">
                      <a:avLst/>
                    </a:prstGeom>
                    <a:noFill/>
                    <a:ln w="28575">
                      <a:solidFill>
                        <a:schemeClr val="tx1"/>
                      </a:solidFill>
                    </a:ln>
                    <a:effectLst>
                      <a:outerShdw blurRad="50800" dist="38100" dir="2700000" algn="tl" rotWithShape="0">
                        <a:prstClr val="black">
                          <a:alpha val="40000"/>
                        </a:prstClr>
                      </a:outerShdw>
                    </a:effectLst>
                    <a:extLst/>
                  </pic:spPr>
                </pic:pic>
              </a:graphicData>
            </a:graphic>
          </wp:inline>
        </w:drawing>
      </w:r>
    </w:p>
    <w:p w:rsidR="000428D9" w:rsidRPr="006B26A4" w:rsidRDefault="000428D9">
      <w:pPr>
        <w:rPr>
          <w:lang w:val="en-US"/>
        </w:rPr>
      </w:pPr>
    </w:p>
    <w:p w:rsidR="006B26A4" w:rsidRPr="006B26A4" w:rsidRDefault="006B26A4">
      <w:pPr>
        <w:rPr>
          <w:lang w:val="en-US"/>
        </w:rPr>
      </w:pPr>
    </w:p>
    <w:sectPr w:rsidR="006B26A4" w:rsidRPr="006B26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C5602FF-84FC-4AB4-BE85-8666FC153645}"/>
    <w:docVar w:name="dgnword-eventsink" w:val="245703576"/>
  </w:docVars>
  <w:rsids>
    <w:rsidRoot w:val="00E12111"/>
    <w:rsid w:val="000428D9"/>
    <w:rsid w:val="00226C2C"/>
    <w:rsid w:val="00423B13"/>
    <w:rsid w:val="006B26A4"/>
    <w:rsid w:val="00B71E3E"/>
    <w:rsid w:val="00E12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122C6"/>
  <w15:chartTrackingRefBased/>
  <w15:docId w15:val="{516705EE-7364-4670-B1CB-CE6F8962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savaresi</dc:creator>
  <cp:keywords/>
  <dc:description/>
  <cp:lastModifiedBy>sergio savaresi</cp:lastModifiedBy>
  <cp:revision>4</cp:revision>
  <dcterms:created xsi:type="dcterms:W3CDTF">2018-10-14T18:17:00Z</dcterms:created>
  <dcterms:modified xsi:type="dcterms:W3CDTF">2018-10-14T18:35:00Z</dcterms:modified>
</cp:coreProperties>
</file>